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0C" w:rsidRPr="00D75B47" w:rsidRDefault="00D75B47" w:rsidP="00663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Вопрос-ответ </w:t>
      </w:r>
      <w:r w:rsidRPr="00D75B47">
        <w:rPr>
          <w:rFonts w:ascii="Times New Roman" w:hAnsi="Times New Roman" w:cs="Times New Roman"/>
          <w:b/>
          <w:sz w:val="28"/>
          <w:szCs w:val="28"/>
        </w:rPr>
        <w:t xml:space="preserve">по оформлению договоров </w:t>
      </w:r>
      <w:r w:rsidR="00775687">
        <w:rPr>
          <w:rFonts w:ascii="Times New Roman" w:hAnsi="Times New Roman" w:cs="Times New Roman"/>
          <w:b/>
          <w:sz w:val="28"/>
          <w:szCs w:val="28"/>
        </w:rPr>
        <w:t>г</w:t>
      </w:r>
      <w:r w:rsidRPr="00D75B47">
        <w:rPr>
          <w:rFonts w:ascii="Times New Roman" w:hAnsi="Times New Roman" w:cs="Times New Roman"/>
          <w:b/>
          <w:sz w:val="28"/>
          <w:szCs w:val="28"/>
        </w:rPr>
        <w:t xml:space="preserve">ражданско-правового </w:t>
      </w:r>
      <w:r w:rsidR="00663C2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75B47">
        <w:rPr>
          <w:rFonts w:ascii="Times New Roman" w:hAnsi="Times New Roman" w:cs="Times New Roman"/>
          <w:b/>
          <w:sz w:val="28"/>
          <w:szCs w:val="28"/>
        </w:rPr>
        <w:t>характера</w:t>
      </w:r>
      <w:r w:rsidR="00663C25">
        <w:rPr>
          <w:rFonts w:ascii="Times New Roman" w:hAnsi="Times New Roman" w:cs="Times New Roman"/>
          <w:b/>
          <w:sz w:val="28"/>
          <w:szCs w:val="28"/>
        </w:rPr>
        <w:t xml:space="preserve"> (далее договор ГПХ)</w:t>
      </w:r>
      <w:r w:rsidRPr="00D75B47">
        <w:rPr>
          <w:rFonts w:ascii="Times New Roman" w:hAnsi="Times New Roman" w:cs="Times New Roman"/>
          <w:b/>
          <w:sz w:val="28"/>
          <w:szCs w:val="28"/>
        </w:rPr>
        <w:t>:</w:t>
      </w:r>
    </w:p>
    <w:p w:rsidR="00F7737F" w:rsidRDefault="00F7737F" w:rsidP="00663C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Где размещены формы договоров ГПХ и инструкция </w:t>
      </w:r>
      <w:r w:rsidR="00775687">
        <w:rPr>
          <w:rFonts w:ascii="Times New Roman" w:hAnsi="Times New Roman" w:cs="Times New Roman"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заполнению данных форм:</w:t>
      </w:r>
    </w:p>
    <w:p w:rsidR="00F7737F" w:rsidRDefault="00F7737F" w:rsidP="00F7737F">
      <w:pPr>
        <w:jc w:val="both"/>
        <w:rPr>
          <w:rFonts w:ascii="Times New Roman" w:hAnsi="Times New Roman" w:cs="Times New Roman"/>
          <w:sz w:val="28"/>
          <w:szCs w:val="28"/>
        </w:rPr>
      </w:pPr>
      <w:r w:rsidRPr="00F7737F">
        <w:rPr>
          <w:rFonts w:ascii="Times New Roman" w:hAnsi="Times New Roman" w:cs="Times New Roman"/>
          <w:sz w:val="28"/>
          <w:szCs w:val="28"/>
        </w:rPr>
        <w:t xml:space="preserve">Формы договоров </w:t>
      </w:r>
      <w:r>
        <w:rPr>
          <w:rFonts w:ascii="Times New Roman" w:hAnsi="Times New Roman" w:cs="Times New Roman"/>
          <w:sz w:val="28"/>
          <w:szCs w:val="28"/>
        </w:rPr>
        <w:t xml:space="preserve">и инструкция </w:t>
      </w:r>
      <w:r w:rsidR="00E8629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их заполнению </w:t>
      </w:r>
      <w:r w:rsidRPr="00F7737F">
        <w:rPr>
          <w:rFonts w:ascii="Times New Roman" w:hAnsi="Times New Roman" w:cs="Times New Roman"/>
          <w:sz w:val="28"/>
          <w:szCs w:val="28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на: 1) официальном сайте УдГУ в разделе «Другие подразделения» / «Планово-бюджетное финансовое управление» / «Документы ПБФУ» / «Типовые формы договоров»; 2) портале УИО / «Главная страница УИО» / «Официальные документы ВУЗа» / «Документы ПБФУ»</w:t>
      </w:r>
    </w:p>
    <w:p w:rsidR="00004D20" w:rsidRDefault="00004D20" w:rsidP="00F77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адреса:</w:t>
      </w:r>
    </w:p>
    <w:p w:rsidR="00004D20" w:rsidRDefault="00B74CCF" w:rsidP="00F7737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04D20" w:rsidRPr="001F095B">
          <w:rPr>
            <w:rStyle w:val="a7"/>
            <w:rFonts w:ascii="Times New Roman" w:hAnsi="Times New Roman" w:cs="Times New Roman"/>
            <w:sz w:val="28"/>
            <w:szCs w:val="28"/>
          </w:rPr>
          <w:t>http://d-pbf.udsu.ru/documents-pbfu</w:t>
        </w:r>
      </w:hyperlink>
    </w:p>
    <w:p w:rsidR="00004D20" w:rsidRDefault="00004D20" w:rsidP="00F77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F095B">
          <w:rPr>
            <w:rStyle w:val="a7"/>
            <w:rFonts w:ascii="Times New Roman" w:hAnsi="Times New Roman" w:cs="Times New Roman"/>
            <w:sz w:val="28"/>
            <w:szCs w:val="28"/>
          </w:rPr>
          <w:t>http://io.udsu.ru/st/uio.main?p_np=8</w:t>
        </w:r>
      </w:hyperlink>
    </w:p>
    <w:p w:rsidR="00004D20" w:rsidRDefault="00004D20" w:rsidP="00F773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B47" w:rsidRPr="00663C25" w:rsidRDefault="00663C25" w:rsidP="00663C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63C25">
        <w:rPr>
          <w:rFonts w:ascii="Times New Roman" w:hAnsi="Times New Roman" w:cs="Times New Roman"/>
          <w:sz w:val="28"/>
          <w:szCs w:val="28"/>
          <w:u w:val="single"/>
        </w:rPr>
        <w:t>С кем заключается договор ГПХ:</w:t>
      </w:r>
    </w:p>
    <w:p w:rsidR="00663C25" w:rsidRDefault="001368D5" w:rsidP="001368D5">
      <w:pPr>
        <w:jc w:val="both"/>
        <w:rPr>
          <w:rFonts w:ascii="Times New Roman" w:hAnsi="Times New Roman" w:cs="Times New Roman"/>
          <w:sz w:val="28"/>
          <w:szCs w:val="28"/>
        </w:rPr>
      </w:pPr>
      <w:r w:rsidRPr="00B55110">
        <w:rPr>
          <w:rFonts w:ascii="Times New Roman" w:hAnsi="Times New Roman" w:cs="Times New Roman"/>
          <w:sz w:val="28"/>
          <w:szCs w:val="28"/>
        </w:rPr>
        <w:t>Договор ГПХ  заключается с председателями ГЭК, членами ГЭК, рецензентами, пригла</w:t>
      </w:r>
      <w:r w:rsidR="00776C69" w:rsidRPr="00B55110">
        <w:rPr>
          <w:rFonts w:ascii="Times New Roman" w:hAnsi="Times New Roman" w:cs="Times New Roman"/>
          <w:sz w:val="28"/>
          <w:szCs w:val="28"/>
        </w:rPr>
        <w:t>шенными учеными, работодателями,</w:t>
      </w:r>
      <w:r w:rsidR="004B302F" w:rsidRPr="00C67FE4">
        <w:rPr>
          <w:rFonts w:ascii="Times New Roman" w:hAnsi="Times New Roman" w:cs="Times New Roman"/>
          <w:sz w:val="28"/>
          <w:szCs w:val="28"/>
        </w:rPr>
        <w:t xml:space="preserve"> с лицами, привлекаемыми для оказания образовательных услуг,</w:t>
      </w:r>
      <w:r w:rsidR="00776C69" w:rsidRPr="00B55110">
        <w:rPr>
          <w:rFonts w:ascii="Times New Roman" w:hAnsi="Times New Roman" w:cs="Times New Roman"/>
          <w:sz w:val="28"/>
          <w:szCs w:val="28"/>
        </w:rPr>
        <w:t xml:space="preserve"> работниками УдГУ, не </w:t>
      </w:r>
      <w:r w:rsidR="00004D20" w:rsidRPr="00B55110">
        <w:rPr>
          <w:rFonts w:ascii="Times New Roman" w:hAnsi="Times New Roman" w:cs="Times New Roman"/>
          <w:sz w:val="28"/>
          <w:szCs w:val="28"/>
        </w:rPr>
        <w:t xml:space="preserve">относящиеся </w:t>
      </w:r>
      <w:r w:rsidR="00776C69" w:rsidRPr="00B55110">
        <w:rPr>
          <w:rFonts w:ascii="Times New Roman" w:hAnsi="Times New Roman" w:cs="Times New Roman"/>
          <w:sz w:val="28"/>
          <w:szCs w:val="28"/>
        </w:rPr>
        <w:t>по основному месту раб</w:t>
      </w:r>
      <w:r w:rsidR="00004D20" w:rsidRPr="00B55110">
        <w:rPr>
          <w:rFonts w:ascii="Times New Roman" w:hAnsi="Times New Roman" w:cs="Times New Roman"/>
          <w:sz w:val="28"/>
          <w:szCs w:val="28"/>
        </w:rPr>
        <w:t>оты к категории ППС.</w:t>
      </w:r>
      <w:r w:rsidR="006E5982">
        <w:rPr>
          <w:rFonts w:ascii="Times New Roman" w:hAnsi="Times New Roman" w:cs="Times New Roman"/>
          <w:sz w:val="28"/>
          <w:szCs w:val="28"/>
        </w:rPr>
        <w:t xml:space="preserve"> </w:t>
      </w:r>
      <w:r w:rsidR="00330B24">
        <w:rPr>
          <w:rFonts w:ascii="Times New Roman" w:hAnsi="Times New Roman" w:cs="Times New Roman"/>
          <w:sz w:val="28"/>
          <w:szCs w:val="28"/>
        </w:rPr>
        <w:t>Для оформления лиц, привлекаемых</w:t>
      </w:r>
      <w:r w:rsidR="00330B24" w:rsidRPr="00C67FE4">
        <w:rPr>
          <w:rFonts w:ascii="Times New Roman" w:hAnsi="Times New Roman" w:cs="Times New Roman"/>
          <w:sz w:val="28"/>
          <w:szCs w:val="28"/>
        </w:rPr>
        <w:t xml:space="preserve"> для оказания образовательных услуг,</w:t>
      </w:r>
      <w:r w:rsidR="00330B24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330B24" w:rsidRPr="00B55110">
        <w:rPr>
          <w:rFonts w:ascii="Times New Roman" w:hAnsi="Times New Roman" w:cs="Times New Roman"/>
          <w:sz w:val="28"/>
          <w:szCs w:val="28"/>
        </w:rPr>
        <w:t xml:space="preserve"> УдГУ, не </w:t>
      </w:r>
      <w:r w:rsidR="00330B24">
        <w:rPr>
          <w:rFonts w:ascii="Times New Roman" w:hAnsi="Times New Roman" w:cs="Times New Roman"/>
          <w:sz w:val="28"/>
          <w:szCs w:val="28"/>
        </w:rPr>
        <w:t>относящих</w:t>
      </w:r>
      <w:r w:rsidR="00330B24" w:rsidRPr="00B55110">
        <w:rPr>
          <w:rFonts w:ascii="Times New Roman" w:hAnsi="Times New Roman" w:cs="Times New Roman"/>
          <w:sz w:val="28"/>
          <w:szCs w:val="28"/>
        </w:rPr>
        <w:t>ся по основному месту работы к категории ПП</w:t>
      </w:r>
      <w:r w:rsidR="00330B24">
        <w:rPr>
          <w:rFonts w:ascii="Times New Roman" w:hAnsi="Times New Roman" w:cs="Times New Roman"/>
          <w:sz w:val="28"/>
          <w:szCs w:val="28"/>
        </w:rPr>
        <w:t>С, необходимо руковод</w:t>
      </w:r>
      <w:r w:rsidR="00187478">
        <w:rPr>
          <w:rFonts w:ascii="Times New Roman" w:hAnsi="Times New Roman" w:cs="Times New Roman"/>
          <w:sz w:val="28"/>
          <w:szCs w:val="28"/>
        </w:rPr>
        <w:t>ствоваться</w:t>
      </w:r>
      <w:r w:rsidR="00330B24">
        <w:rPr>
          <w:rFonts w:ascii="Times New Roman" w:hAnsi="Times New Roman" w:cs="Times New Roman"/>
          <w:sz w:val="28"/>
          <w:szCs w:val="28"/>
        </w:rPr>
        <w:t xml:space="preserve"> пунктом 3 распоряжения от 20.06.2018 года №368, на основании которого: </w:t>
      </w:r>
    </w:p>
    <w:p w:rsidR="00330B24" w:rsidRDefault="00330B24" w:rsidP="00136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выполнения работ не более одного семестра за учебный год,</w:t>
      </w:r>
    </w:p>
    <w:p w:rsidR="00330B24" w:rsidRDefault="00330B24" w:rsidP="00136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учебной нагрузки должен составлять не более 0,1 ставки (не более 80 часов).</w:t>
      </w:r>
    </w:p>
    <w:p w:rsidR="00004D20" w:rsidRDefault="00004D20" w:rsidP="00136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8D5" w:rsidRPr="00663C25" w:rsidRDefault="001368D5" w:rsidP="00136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Какая форма договора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каких случаях применяется:</w:t>
      </w:r>
    </w:p>
    <w:p w:rsidR="00663C25" w:rsidRDefault="001368D5" w:rsidP="00136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№2 </w:t>
      </w:r>
      <w:r w:rsidR="00A64FE9">
        <w:rPr>
          <w:rFonts w:ascii="Times New Roman" w:hAnsi="Times New Roman" w:cs="Times New Roman"/>
          <w:sz w:val="28"/>
          <w:szCs w:val="28"/>
        </w:rPr>
        <w:t xml:space="preserve">(ускоренные сроки обучения), форма №2-1 (нормативные сроки обучения) </w:t>
      </w:r>
      <w:r>
        <w:rPr>
          <w:rFonts w:ascii="Times New Roman" w:hAnsi="Times New Roman" w:cs="Times New Roman"/>
          <w:sz w:val="28"/>
          <w:szCs w:val="28"/>
        </w:rPr>
        <w:t>с графиком проведения занятий</w:t>
      </w:r>
      <w:r w:rsidR="00A64FE9">
        <w:rPr>
          <w:rFonts w:ascii="Times New Roman" w:hAnsi="Times New Roman" w:cs="Times New Roman"/>
          <w:sz w:val="28"/>
          <w:szCs w:val="28"/>
        </w:rPr>
        <w:t xml:space="preserve"> оформляется на лиц, оказывающих образовательные услуги</w:t>
      </w:r>
      <w:r w:rsidR="00340E20">
        <w:rPr>
          <w:rFonts w:ascii="Times New Roman" w:hAnsi="Times New Roman" w:cs="Times New Roman"/>
          <w:sz w:val="28"/>
          <w:szCs w:val="28"/>
        </w:rPr>
        <w:t>.</w:t>
      </w:r>
      <w:r w:rsidR="00A64FE9">
        <w:rPr>
          <w:rFonts w:ascii="Times New Roman" w:hAnsi="Times New Roman" w:cs="Times New Roman"/>
          <w:sz w:val="28"/>
          <w:szCs w:val="28"/>
        </w:rPr>
        <w:t xml:space="preserve"> Данные формы применяются</w:t>
      </w:r>
      <w:r w:rsidR="00017386">
        <w:rPr>
          <w:rFonts w:ascii="Times New Roman" w:hAnsi="Times New Roman" w:cs="Times New Roman"/>
          <w:sz w:val="28"/>
          <w:szCs w:val="28"/>
        </w:rPr>
        <w:t>,</w:t>
      </w:r>
      <w:r w:rsidR="00A64FE9">
        <w:rPr>
          <w:rFonts w:ascii="Times New Roman" w:hAnsi="Times New Roman" w:cs="Times New Roman"/>
          <w:sz w:val="28"/>
          <w:szCs w:val="28"/>
        </w:rPr>
        <w:t xml:space="preserve"> если срок оказываемой услуги более</w:t>
      </w:r>
      <w:r w:rsidR="004B302F">
        <w:rPr>
          <w:rFonts w:ascii="Times New Roman" w:hAnsi="Times New Roman" w:cs="Times New Roman"/>
          <w:sz w:val="28"/>
          <w:szCs w:val="28"/>
        </w:rPr>
        <w:t xml:space="preserve"> одного месяца</w:t>
      </w:r>
      <w:r w:rsidR="00A64F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FE9" w:rsidRDefault="00A64FE9" w:rsidP="00A64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FE9" w:rsidRDefault="00A64FE9" w:rsidP="00A64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№4 (ускоренные сроки обучения), форма №4-1 (нормативные сроки обучения) оформляется на лиц</w:t>
      </w:r>
      <w:proofErr w:type="gramStart"/>
      <w:r w:rsidR="00340E20" w:rsidRPr="00340E20">
        <w:rPr>
          <w:rFonts w:ascii="Times New Roman" w:hAnsi="Times New Roman" w:cs="Times New Roman"/>
          <w:sz w:val="28"/>
          <w:szCs w:val="28"/>
        </w:rPr>
        <w:t xml:space="preserve"> </w:t>
      </w:r>
      <w:r w:rsidR="00340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оказывающих образовательные услуги. Данные формы применяются</w:t>
      </w:r>
      <w:r w:rsidR="00340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срок оказываемой услуги менее</w:t>
      </w:r>
      <w:r w:rsidR="004B302F">
        <w:rPr>
          <w:rFonts w:ascii="Times New Roman" w:hAnsi="Times New Roman" w:cs="Times New Roman"/>
          <w:sz w:val="28"/>
          <w:szCs w:val="28"/>
        </w:rPr>
        <w:t xml:space="preserve"> одного месяца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FE9" w:rsidRDefault="00A64FE9" w:rsidP="00136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FE9" w:rsidRDefault="00A64FE9" w:rsidP="00136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№3 </w:t>
      </w:r>
      <w:r w:rsidR="00017386">
        <w:rPr>
          <w:rFonts w:ascii="Times New Roman" w:hAnsi="Times New Roman" w:cs="Times New Roman"/>
          <w:sz w:val="28"/>
          <w:szCs w:val="28"/>
        </w:rPr>
        <w:t xml:space="preserve">оформляется для оплаты проведения практики со студентами. Данная форма оформляется на весь период проведения практики. </w:t>
      </w:r>
    </w:p>
    <w:p w:rsidR="00017386" w:rsidRDefault="00017386" w:rsidP="00136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386" w:rsidRDefault="00017386" w:rsidP="00136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№5 и №6 оформляется на виды услуг, не относящиеся к образовательной деятельности.</w:t>
      </w:r>
      <w:r w:rsidR="00227FE0">
        <w:rPr>
          <w:rFonts w:ascii="Times New Roman" w:hAnsi="Times New Roman" w:cs="Times New Roman"/>
          <w:sz w:val="28"/>
          <w:szCs w:val="28"/>
        </w:rPr>
        <w:t xml:space="preserve"> Например, при проведении конференции и т.п.</w:t>
      </w:r>
    </w:p>
    <w:p w:rsidR="00017386" w:rsidRDefault="00017386" w:rsidP="00136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386" w:rsidRDefault="00017386" w:rsidP="00136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№8 оформляется на председателей и членов ГЭК, включая </w:t>
      </w:r>
      <w:r w:rsidR="00227FE0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E8629D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27FE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проезд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жилого помещения. </w:t>
      </w:r>
      <w:r w:rsidR="001939C8">
        <w:rPr>
          <w:rFonts w:ascii="Times New Roman" w:hAnsi="Times New Roman" w:cs="Times New Roman"/>
          <w:sz w:val="28"/>
          <w:szCs w:val="28"/>
        </w:rPr>
        <w:t>Для оплаты работы председателей и членов ГЭК б</w:t>
      </w:r>
      <w:r>
        <w:rPr>
          <w:rFonts w:ascii="Times New Roman" w:hAnsi="Times New Roman" w:cs="Times New Roman"/>
          <w:sz w:val="28"/>
          <w:szCs w:val="28"/>
        </w:rPr>
        <w:t xml:space="preserve">ез </w:t>
      </w:r>
      <w:r w:rsidR="00227FE0">
        <w:rPr>
          <w:rFonts w:ascii="Times New Roman" w:hAnsi="Times New Roman" w:cs="Times New Roman"/>
          <w:sz w:val="28"/>
          <w:szCs w:val="28"/>
        </w:rPr>
        <w:t xml:space="preserve">возмещения </w:t>
      </w:r>
      <w:r>
        <w:rPr>
          <w:rFonts w:ascii="Times New Roman" w:hAnsi="Times New Roman" w:cs="Times New Roman"/>
          <w:sz w:val="28"/>
          <w:szCs w:val="28"/>
        </w:rPr>
        <w:t xml:space="preserve"> расходов на проезд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жилого помещения оформляется договор по формам №2, 2-1, 4, 4-1.</w:t>
      </w:r>
    </w:p>
    <w:p w:rsidR="001939C8" w:rsidRDefault="001939C8" w:rsidP="00136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9C8" w:rsidRDefault="001939C8" w:rsidP="00136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№9 оформляется для приглашенных лиц (за исключением председателей и членов ГЭК), оказывающих образовательные услуги, включая возмещение расходов на проезд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жилого помещения. </w:t>
      </w:r>
    </w:p>
    <w:p w:rsidR="00340E20" w:rsidRDefault="00340E20" w:rsidP="00340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 оформлять график проведения занятий, применяемый к формам №2, 2-1:</w:t>
      </w:r>
    </w:p>
    <w:p w:rsidR="00340E20" w:rsidRPr="00340E20" w:rsidRDefault="00F13640" w:rsidP="00F13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занятий заполняется в соответствие с расписанием учебных занятий. </w:t>
      </w:r>
      <w:r w:rsidR="009B702D">
        <w:rPr>
          <w:rFonts w:ascii="Times New Roman" w:hAnsi="Times New Roman" w:cs="Times New Roman"/>
          <w:sz w:val="28"/>
          <w:szCs w:val="28"/>
        </w:rPr>
        <w:t xml:space="preserve">Дата составления графика совпадает с датой договора. </w:t>
      </w:r>
      <w:r>
        <w:rPr>
          <w:rFonts w:ascii="Times New Roman" w:hAnsi="Times New Roman" w:cs="Times New Roman"/>
          <w:sz w:val="28"/>
          <w:szCs w:val="28"/>
        </w:rPr>
        <w:t xml:space="preserve">В столбце «даты» указываются конкретные даты </w:t>
      </w:r>
      <w:r w:rsidR="00581DF0">
        <w:rPr>
          <w:rFonts w:ascii="Times New Roman" w:hAnsi="Times New Roman" w:cs="Times New Roman"/>
          <w:sz w:val="28"/>
          <w:szCs w:val="28"/>
        </w:rPr>
        <w:t>проведения занятий (работ). Даты за 1 месяц указываются в одной строке через запятую. В столбце количество/объем часов указывается общий объем часов проведенных учеб</w:t>
      </w:r>
      <w:r w:rsidR="002C7411">
        <w:rPr>
          <w:rFonts w:ascii="Times New Roman" w:hAnsi="Times New Roman" w:cs="Times New Roman"/>
          <w:sz w:val="28"/>
          <w:szCs w:val="28"/>
        </w:rPr>
        <w:t>ных занятий (работ) в даты, указанные в соответствующей строке, например: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3827"/>
        <w:gridCol w:w="1950"/>
      </w:tblGrid>
      <w:tr w:rsidR="00BA30DD" w:rsidTr="002C7411">
        <w:tc>
          <w:tcPr>
            <w:tcW w:w="5070" w:type="dxa"/>
          </w:tcPr>
          <w:p w:rsidR="00BA30DD" w:rsidRDefault="00BA30DD" w:rsidP="00BA3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BA30DD" w:rsidRDefault="002C7411" w:rsidP="00BA3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оказываемых услуг</w:t>
            </w:r>
          </w:p>
        </w:tc>
        <w:tc>
          <w:tcPr>
            <w:tcW w:w="1950" w:type="dxa"/>
          </w:tcPr>
          <w:p w:rsidR="00BA30DD" w:rsidRDefault="00BA30DD" w:rsidP="00BA3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C7411">
              <w:rPr>
                <w:rFonts w:ascii="Times New Roman" w:hAnsi="Times New Roman" w:cs="Times New Roman"/>
                <w:sz w:val="28"/>
                <w:szCs w:val="28"/>
              </w:rPr>
              <w:t xml:space="preserve"> / 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BA30DD" w:rsidTr="002C7411">
        <w:tc>
          <w:tcPr>
            <w:tcW w:w="5070" w:type="dxa"/>
          </w:tcPr>
          <w:p w:rsidR="00BA30DD" w:rsidRDefault="00BA30DD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10.09.2018</w:t>
            </w:r>
            <w:r w:rsidR="002C7411">
              <w:rPr>
                <w:rFonts w:ascii="Times New Roman" w:hAnsi="Times New Roman" w:cs="Times New Roman"/>
                <w:sz w:val="28"/>
                <w:szCs w:val="28"/>
              </w:rPr>
              <w:t>, 14.09.2018, 20.09.2018</w:t>
            </w:r>
            <w:r w:rsidR="006E2F51">
              <w:rPr>
                <w:rFonts w:ascii="Times New Roman" w:hAnsi="Times New Roman" w:cs="Times New Roman"/>
                <w:sz w:val="28"/>
                <w:szCs w:val="28"/>
              </w:rPr>
              <w:t>, 24.09.2018, 27.09.2018</w:t>
            </w:r>
          </w:p>
        </w:tc>
        <w:tc>
          <w:tcPr>
            <w:tcW w:w="3827" w:type="dxa"/>
          </w:tcPr>
          <w:p w:rsidR="00BA30DD" w:rsidRDefault="00BA30DD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50" w:type="dxa"/>
          </w:tcPr>
          <w:p w:rsidR="00BA30DD" w:rsidRDefault="002C7411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2F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7411" w:rsidTr="002C7411">
        <w:tc>
          <w:tcPr>
            <w:tcW w:w="5070" w:type="dxa"/>
          </w:tcPr>
          <w:p w:rsidR="002C7411" w:rsidRDefault="002C7411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8.10.2018, 22.10.2018</w:t>
            </w:r>
          </w:p>
        </w:tc>
        <w:tc>
          <w:tcPr>
            <w:tcW w:w="3827" w:type="dxa"/>
          </w:tcPr>
          <w:p w:rsidR="002C7411" w:rsidRDefault="002C7411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50" w:type="dxa"/>
          </w:tcPr>
          <w:p w:rsidR="002C7411" w:rsidRDefault="002C7411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30DD" w:rsidTr="002C7411">
        <w:tc>
          <w:tcPr>
            <w:tcW w:w="5070" w:type="dxa"/>
          </w:tcPr>
          <w:p w:rsidR="00BA30DD" w:rsidRDefault="00BA30DD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27.09.2018</w:t>
            </w:r>
          </w:p>
        </w:tc>
        <w:tc>
          <w:tcPr>
            <w:tcW w:w="3827" w:type="dxa"/>
          </w:tcPr>
          <w:p w:rsidR="00BA30DD" w:rsidRDefault="00BA30DD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</w:tcPr>
          <w:p w:rsidR="00BA30DD" w:rsidRDefault="00BA30DD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7411" w:rsidTr="002C7411">
        <w:tc>
          <w:tcPr>
            <w:tcW w:w="5070" w:type="dxa"/>
          </w:tcPr>
          <w:p w:rsidR="002C7411" w:rsidRDefault="002C7411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12.11.2018</w:t>
            </w:r>
          </w:p>
        </w:tc>
        <w:tc>
          <w:tcPr>
            <w:tcW w:w="3827" w:type="dxa"/>
          </w:tcPr>
          <w:p w:rsidR="002C7411" w:rsidRDefault="002C7411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</w:tcPr>
          <w:p w:rsidR="002C7411" w:rsidRDefault="002C7411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30DD" w:rsidTr="002C7411">
        <w:tc>
          <w:tcPr>
            <w:tcW w:w="5070" w:type="dxa"/>
          </w:tcPr>
          <w:p w:rsidR="00BA30DD" w:rsidRDefault="00BA30DD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14.11.2018</w:t>
            </w:r>
          </w:p>
        </w:tc>
        <w:tc>
          <w:tcPr>
            <w:tcW w:w="3827" w:type="dxa"/>
          </w:tcPr>
          <w:p w:rsidR="00BA30DD" w:rsidRDefault="00BA30DD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950" w:type="dxa"/>
          </w:tcPr>
          <w:p w:rsidR="00BA30DD" w:rsidRDefault="002C7411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30DD" w:rsidTr="002C7411">
        <w:tc>
          <w:tcPr>
            <w:tcW w:w="5070" w:type="dxa"/>
          </w:tcPr>
          <w:p w:rsidR="00BA30DD" w:rsidRDefault="00BA30DD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12.12.2018</w:t>
            </w:r>
          </w:p>
        </w:tc>
        <w:tc>
          <w:tcPr>
            <w:tcW w:w="3827" w:type="dxa"/>
          </w:tcPr>
          <w:p w:rsidR="00BA30DD" w:rsidRDefault="00BA30DD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950" w:type="dxa"/>
          </w:tcPr>
          <w:p w:rsidR="00BA30DD" w:rsidRDefault="00BA30DD" w:rsidP="0013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17386" w:rsidRDefault="00017386" w:rsidP="00136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0DD" w:rsidRDefault="00F67697" w:rsidP="00BA3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Сроки заключения</w:t>
      </w:r>
      <w:r w:rsidR="00BA30DD">
        <w:rPr>
          <w:rFonts w:ascii="Times New Roman" w:hAnsi="Times New Roman" w:cs="Times New Roman"/>
          <w:sz w:val="28"/>
          <w:szCs w:val="28"/>
          <w:u w:val="single"/>
        </w:rPr>
        <w:t xml:space="preserve"> договоров ГПХ:</w:t>
      </w:r>
    </w:p>
    <w:p w:rsidR="00BA30DD" w:rsidRDefault="00BA30DD" w:rsidP="00BA30DD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ГПХ заключается до нача</w:t>
      </w:r>
      <w:r w:rsidR="00F67A4E">
        <w:rPr>
          <w:rFonts w:ascii="Times New Roman" w:hAnsi="Times New Roman" w:cs="Times New Roman"/>
          <w:sz w:val="28"/>
          <w:szCs w:val="28"/>
        </w:rPr>
        <w:t xml:space="preserve">ла оказания услуги. </w:t>
      </w:r>
      <w:r w:rsidR="004C076B">
        <w:rPr>
          <w:rFonts w:ascii="Times New Roman" w:hAnsi="Times New Roman" w:cs="Times New Roman"/>
          <w:sz w:val="28"/>
          <w:szCs w:val="28"/>
        </w:rPr>
        <w:t xml:space="preserve">Если договор  регистрируется в </w:t>
      </w:r>
      <w:proofErr w:type="gramStart"/>
      <w:r w:rsidR="004C076B">
        <w:rPr>
          <w:rFonts w:ascii="Times New Roman" w:hAnsi="Times New Roman" w:cs="Times New Roman"/>
          <w:sz w:val="28"/>
          <w:szCs w:val="28"/>
        </w:rPr>
        <w:t>институте</w:t>
      </w:r>
      <w:proofErr w:type="gramEnd"/>
      <w:r w:rsidR="004C076B">
        <w:rPr>
          <w:rFonts w:ascii="Times New Roman" w:hAnsi="Times New Roman" w:cs="Times New Roman"/>
          <w:sz w:val="28"/>
          <w:szCs w:val="28"/>
        </w:rPr>
        <w:t xml:space="preserve">, то </w:t>
      </w:r>
      <w:r w:rsidR="00F67A4E">
        <w:rPr>
          <w:rFonts w:ascii="Times New Roman" w:hAnsi="Times New Roman" w:cs="Times New Roman"/>
          <w:sz w:val="28"/>
          <w:szCs w:val="28"/>
        </w:rPr>
        <w:t xml:space="preserve"> дата ре</w:t>
      </w:r>
      <w:r>
        <w:rPr>
          <w:rFonts w:ascii="Times New Roman" w:hAnsi="Times New Roman" w:cs="Times New Roman"/>
          <w:sz w:val="28"/>
          <w:szCs w:val="28"/>
        </w:rPr>
        <w:t xml:space="preserve">гистрации договора </w:t>
      </w:r>
      <w:r w:rsidR="00396A90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="00990148">
        <w:rPr>
          <w:rFonts w:ascii="Times New Roman" w:hAnsi="Times New Roman" w:cs="Times New Roman"/>
          <w:sz w:val="28"/>
          <w:szCs w:val="28"/>
        </w:rPr>
        <w:t xml:space="preserve">указана </w:t>
      </w:r>
      <w:r>
        <w:rPr>
          <w:rFonts w:ascii="Times New Roman" w:hAnsi="Times New Roman" w:cs="Times New Roman"/>
          <w:sz w:val="28"/>
          <w:szCs w:val="28"/>
        </w:rPr>
        <w:t xml:space="preserve">либо ранее даты оказания услуги, либо датой начала оказания услуги, например: срок договора с </w:t>
      </w:r>
      <w:r w:rsidR="004C07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1.10.2018 года по 18.10.2018 года, то дата регистрации договора </w:t>
      </w:r>
      <w:r w:rsidR="004C07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1.10.2018 года или ранее.</w:t>
      </w:r>
      <w:r w:rsidR="004C076B">
        <w:rPr>
          <w:rFonts w:ascii="Times New Roman" w:hAnsi="Times New Roman" w:cs="Times New Roman"/>
          <w:sz w:val="28"/>
          <w:szCs w:val="28"/>
        </w:rPr>
        <w:t xml:space="preserve"> Если договор регистрируется в юридическом </w:t>
      </w:r>
      <w:proofErr w:type="gramStart"/>
      <w:r w:rsidR="004C076B"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 w:rsidR="004C076B">
        <w:rPr>
          <w:rFonts w:ascii="Times New Roman" w:hAnsi="Times New Roman" w:cs="Times New Roman"/>
          <w:sz w:val="28"/>
          <w:szCs w:val="28"/>
        </w:rPr>
        <w:t xml:space="preserve"> УдГУ/ тогда дату договора/регистрации договора не нужно указывать.</w:t>
      </w:r>
    </w:p>
    <w:p w:rsidR="00FE11AF" w:rsidRDefault="00FE11AF" w:rsidP="00BA30DD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Договор должен быть заключен и подписан всеми сторонами не позднее 10 числа месяца, следующего за отчетным.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налогов и отчетности закрывают отчетный период за текущий месяц 15 числа месяца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Если 15 число выпадает на выходной или </w:t>
      </w:r>
      <w:r w:rsidR="00FB2263">
        <w:rPr>
          <w:rFonts w:ascii="Times New Roman" w:hAnsi="Times New Roman" w:cs="Times New Roman"/>
          <w:sz w:val="28"/>
          <w:szCs w:val="28"/>
        </w:rPr>
        <w:t>праздничный день, соответственно срок закрытия отчетного периода будет последний рабочий день, предшествующий 15 числу.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263">
        <w:rPr>
          <w:rFonts w:ascii="Times New Roman" w:hAnsi="Times New Roman" w:cs="Times New Roman"/>
          <w:sz w:val="28"/>
          <w:szCs w:val="28"/>
        </w:rPr>
        <w:t xml:space="preserve">В случае несвоевременного </w:t>
      </w:r>
      <w:r w:rsidR="00FB2263" w:rsidRPr="00344A18">
        <w:rPr>
          <w:rFonts w:ascii="Times New Roman" w:hAnsi="Times New Roman" w:cs="Times New Roman"/>
          <w:sz w:val="28"/>
          <w:szCs w:val="28"/>
        </w:rPr>
        <w:t>заключения и подписания</w:t>
      </w:r>
      <w:r w:rsidR="00FB2263">
        <w:rPr>
          <w:rFonts w:ascii="Times New Roman" w:hAnsi="Times New Roman" w:cs="Times New Roman"/>
          <w:sz w:val="28"/>
          <w:szCs w:val="28"/>
        </w:rPr>
        <w:t xml:space="preserve"> договора ГПХ </w:t>
      </w:r>
      <w:r w:rsidR="00FB2263" w:rsidRPr="00227FE0">
        <w:rPr>
          <w:rFonts w:ascii="Times New Roman" w:hAnsi="Times New Roman" w:cs="Times New Roman"/>
          <w:sz w:val="28"/>
          <w:szCs w:val="28"/>
        </w:rPr>
        <w:t>(до 1</w:t>
      </w:r>
      <w:r w:rsidR="000946A2">
        <w:rPr>
          <w:rFonts w:ascii="Times New Roman" w:hAnsi="Times New Roman" w:cs="Times New Roman"/>
          <w:sz w:val="28"/>
          <w:szCs w:val="28"/>
        </w:rPr>
        <w:t>5</w:t>
      </w:r>
      <w:r w:rsidR="00FB2263" w:rsidRPr="00227FE0">
        <w:rPr>
          <w:rFonts w:ascii="Times New Roman" w:hAnsi="Times New Roman" w:cs="Times New Roman"/>
          <w:sz w:val="28"/>
          <w:szCs w:val="28"/>
        </w:rPr>
        <w:t xml:space="preserve"> числа месяца следующего за </w:t>
      </w:r>
      <w:proofErr w:type="gramStart"/>
      <w:r w:rsidR="00FB2263" w:rsidRPr="00227FE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FB2263" w:rsidRPr="00227FE0">
        <w:rPr>
          <w:rFonts w:ascii="Times New Roman" w:hAnsi="Times New Roman" w:cs="Times New Roman"/>
          <w:sz w:val="28"/>
          <w:szCs w:val="28"/>
        </w:rPr>
        <w:t>) указанные договоры к регистрации не принимаются.</w:t>
      </w:r>
    </w:p>
    <w:p w:rsidR="00953C17" w:rsidRDefault="00953C17" w:rsidP="00953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Рекомендации к оформлению:</w:t>
      </w:r>
    </w:p>
    <w:p w:rsidR="00C57702" w:rsidRDefault="00C57702" w:rsidP="00953C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3C17">
        <w:rPr>
          <w:rFonts w:ascii="Times New Roman" w:hAnsi="Times New Roman" w:cs="Times New Roman"/>
          <w:sz w:val="28"/>
          <w:szCs w:val="28"/>
        </w:rPr>
        <w:t>Договор ГПХ можно оформлять как от руки</w:t>
      </w:r>
      <w:r w:rsidR="001827E0" w:rsidRPr="001827E0">
        <w:rPr>
          <w:rFonts w:ascii="Times New Roman" w:hAnsi="Times New Roman" w:cs="Times New Roman"/>
          <w:sz w:val="28"/>
          <w:szCs w:val="28"/>
        </w:rPr>
        <w:t xml:space="preserve"> </w:t>
      </w:r>
      <w:r w:rsidR="001827E0">
        <w:rPr>
          <w:rFonts w:ascii="Times New Roman" w:hAnsi="Times New Roman" w:cs="Times New Roman"/>
          <w:sz w:val="28"/>
          <w:szCs w:val="28"/>
        </w:rPr>
        <w:t>( пастой одного цвета)</w:t>
      </w:r>
      <w:r w:rsidRPr="00953C17">
        <w:rPr>
          <w:rFonts w:ascii="Times New Roman" w:hAnsi="Times New Roman" w:cs="Times New Roman"/>
          <w:sz w:val="28"/>
          <w:szCs w:val="28"/>
        </w:rPr>
        <w:t xml:space="preserve">, так и в электронном варианте. </w:t>
      </w:r>
      <w:r w:rsidR="005326F7">
        <w:rPr>
          <w:rFonts w:ascii="Times New Roman" w:hAnsi="Times New Roman" w:cs="Times New Roman"/>
          <w:sz w:val="28"/>
          <w:szCs w:val="28"/>
        </w:rPr>
        <w:t>Реквизиты сторон не должны распечатываться на отдельном листе. Они должны быть распечатаны либо с частью текста договора, либо с обратной стороны листа договора.</w:t>
      </w:r>
      <w:r w:rsidR="00BD3CEF" w:rsidRPr="00212108">
        <w:rPr>
          <w:rFonts w:ascii="Times New Roman" w:hAnsi="Times New Roman" w:cs="Times New Roman"/>
          <w:sz w:val="28"/>
          <w:szCs w:val="28"/>
        </w:rPr>
        <w:t xml:space="preserve"> </w:t>
      </w:r>
      <w:r w:rsidR="00212108">
        <w:rPr>
          <w:rFonts w:ascii="Times New Roman" w:hAnsi="Times New Roman" w:cs="Times New Roman"/>
          <w:sz w:val="28"/>
          <w:szCs w:val="28"/>
        </w:rPr>
        <w:t>Все согласующие подписи должны быть с расшифровками.</w:t>
      </w:r>
    </w:p>
    <w:p w:rsidR="00553E41" w:rsidRPr="00553E41" w:rsidRDefault="00553E41" w:rsidP="00953C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166F" w:rsidRDefault="009C166F" w:rsidP="009C16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Какие документы необходимо прилагать к договору ГПХ:</w:t>
      </w:r>
    </w:p>
    <w:p w:rsidR="00F13640" w:rsidRDefault="009C166F" w:rsidP="00B91F31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F31">
        <w:rPr>
          <w:rFonts w:ascii="Times New Roman" w:hAnsi="Times New Roman" w:cs="Times New Roman"/>
          <w:sz w:val="28"/>
          <w:szCs w:val="28"/>
        </w:rPr>
        <w:t>Следующие копии документов прилагаются, если сотрудник трудоустраивается в университет впервые, либо данные изменились. Копии данных документов передаются в отдел налогов и отч</w:t>
      </w:r>
      <w:r w:rsidR="00B91F31">
        <w:rPr>
          <w:rFonts w:ascii="Times New Roman" w:hAnsi="Times New Roman" w:cs="Times New Roman"/>
          <w:sz w:val="28"/>
          <w:szCs w:val="28"/>
        </w:rPr>
        <w:t>етности (1 корпус 241 кабинет):</w:t>
      </w:r>
    </w:p>
    <w:p w:rsidR="00B91F31" w:rsidRDefault="00B91F31" w:rsidP="00B91F3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паспорта (разворот с фото и лист с адресом регистрации),</w:t>
      </w:r>
    </w:p>
    <w:p w:rsidR="00B91F31" w:rsidRDefault="00B91F31" w:rsidP="00B91F3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ИНН,</w:t>
      </w:r>
    </w:p>
    <w:p w:rsidR="00B91F31" w:rsidRDefault="00B91F31" w:rsidP="00B91F3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СНИЛС.</w:t>
      </w:r>
    </w:p>
    <w:p w:rsidR="00B91F31" w:rsidRDefault="00B91F31" w:rsidP="00B91F3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1F31" w:rsidRDefault="00B91F31" w:rsidP="000A36C7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документы предоставляются в Управление кадрового и документационного обеспечения (к конкретному сп</w:t>
      </w:r>
      <w:r w:rsidR="000A36C7">
        <w:rPr>
          <w:rFonts w:ascii="Times New Roman" w:hAnsi="Times New Roman" w:cs="Times New Roman"/>
          <w:sz w:val="28"/>
          <w:szCs w:val="28"/>
        </w:rPr>
        <w:t>ециалисту по каждому институту):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F31" w:rsidRDefault="00B91F31" w:rsidP="000A36C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36C7">
        <w:rPr>
          <w:rFonts w:ascii="Times New Roman" w:hAnsi="Times New Roman" w:cs="Times New Roman"/>
          <w:sz w:val="28"/>
          <w:szCs w:val="28"/>
        </w:rPr>
        <w:t xml:space="preserve">копия трудовой книжки, либо справка о стаже с места работы (для лиц, оказывающих образовательные услуги в качестве работодателя). Данные документы предоставляются каждый раз при заключении договора ГПХ. </w:t>
      </w:r>
    </w:p>
    <w:p w:rsidR="000A36C7" w:rsidRPr="00B91F31" w:rsidRDefault="000A36C7" w:rsidP="000A36C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 об образовании: копия диплома о высшем образовании, а при наличии – копия диплома о присвоении ученой степени и копия аттест</w:t>
      </w:r>
      <w:r w:rsidR="00BA1CB2">
        <w:rPr>
          <w:rFonts w:ascii="Times New Roman" w:hAnsi="Times New Roman" w:cs="Times New Roman"/>
          <w:sz w:val="28"/>
          <w:szCs w:val="28"/>
        </w:rPr>
        <w:t>ата о присвоении ученого звания, копия диплома о дополнительном образовании.</w:t>
      </w:r>
      <w:r>
        <w:rPr>
          <w:rFonts w:ascii="Times New Roman" w:hAnsi="Times New Roman" w:cs="Times New Roman"/>
          <w:sz w:val="28"/>
          <w:szCs w:val="28"/>
        </w:rPr>
        <w:t xml:space="preserve"> Данные документы предоставляются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отсутствия в ИИАС.</w:t>
      </w:r>
    </w:p>
    <w:p w:rsidR="000A36C7" w:rsidRPr="000A36C7" w:rsidRDefault="000A36C7" w:rsidP="000A36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A4E" w:rsidRPr="00F67A4E" w:rsidRDefault="00F67A4E" w:rsidP="00953C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 оформить акт приемки</w:t>
      </w:r>
      <w:r w:rsidR="00FE11AF">
        <w:rPr>
          <w:rFonts w:ascii="Times New Roman" w:hAnsi="Times New Roman" w:cs="Times New Roman"/>
          <w:sz w:val="28"/>
          <w:szCs w:val="28"/>
          <w:u w:val="single"/>
        </w:rPr>
        <w:t xml:space="preserve"> оказанных услуг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67A4E" w:rsidRDefault="00F67A4E" w:rsidP="00F67A4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приемки </w:t>
      </w:r>
      <w:r w:rsidR="00FE11AF">
        <w:rPr>
          <w:rFonts w:ascii="Times New Roman" w:hAnsi="Times New Roman" w:cs="Times New Roman"/>
          <w:sz w:val="28"/>
          <w:szCs w:val="28"/>
        </w:rPr>
        <w:t xml:space="preserve">оказанных услуг можно оформлять ежемесячно, 1 раз в два месяца, 1 раз в три месяца и т.д., 1 раз за семестр, в зависимости от необходимости. </w:t>
      </w:r>
      <w:r w:rsidR="00FE11AF" w:rsidRPr="000946A2">
        <w:rPr>
          <w:rFonts w:ascii="Times New Roman" w:hAnsi="Times New Roman" w:cs="Times New Roman"/>
          <w:sz w:val="28"/>
          <w:szCs w:val="28"/>
        </w:rPr>
        <w:t>Дата акта приемки оказанных услуг – следующий рабочий день после оказания услуги.</w:t>
      </w:r>
      <w:r w:rsidR="00FE11AF">
        <w:rPr>
          <w:rFonts w:ascii="Times New Roman" w:hAnsi="Times New Roman" w:cs="Times New Roman"/>
          <w:sz w:val="28"/>
          <w:szCs w:val="28"/>
        </w:rPr>
        <w:t xml:space="preserve"> </w:t>
      </w:r>
      <w:r w:rsidR="00BD3CEF">
        <w:rPr>
          <w:rFonts w:ascii="Times New Roman" w:hAnsi="Times New Roman" w:cs="Times New Roman"/>
          <w:sz w:val="28"/>
          <w:szCs w:val="28"/>
        </w:rPr>
        <w:t>В акте приемки оказанных услуг все строчк</w:t>
      </w:r>
      <w:r w:rsidR="00212108">
        <w:rPr>
          <w:rFonts w:ascii="Times New Roman" w:hAnsi="Times New Roman" w:cs="Times New Roman"/>
          <w:sz w:val="28"/>
          <w:szCs w:val="28"/>
        </w:rPr>
        <w:t>и</w:t>
      </w:r>
      <w:r w:rsidR="00BD3CEF">
        <w:rPr>
          <w:rFonts w:ascii="Times New Roman" w:hAnsi="Times New Roman" w:cs="Times New Roman"/>
          <w:sz w:val="28"/>
          <w:szCs w:val="28"/>
        </w:rPr>
        <w:t xml:space="preserve"> обязательный к заполнению, включая номер договора (после регистрации в юридическом отделе), дата договора, дата </w:t>
      </w:r>
      <w:r w:rsidR="00212108">
        <w:rPr>
          <w:rFonts w:ascii="Times New Roman" w:hAnsi="Times New Roman" w:cs="Times New Roman"/>
          <w:sz w:val="28"/>
          <w:szCs w:val="28"/>
        </w:rPr>
        <w:t>акта приемки оказанных услуг, ФИО</w:t>
      </w:r>
      <w:r w:rsidR="00187478"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="00212108">
        <w:rPr>
          <w:rFonts w:ascii="Times New Roman" w:hAnsi="Times New Roman" w:cs="Times New Roman"/>
          <w:sz w:val="28"/>
          <w:szCs w:val="28"/>
        </w:rPr>
        <w:t xml:space="preserve">, кому произведут оплату по договору. Стоимость услуг и источник финансирования указывает ПБФУ. </w:t>
      </w:r>
    </w:p>
    <w:p w:rsidR="009E5BDA" w:rsidRPr="009C166F" w:rsidRDefault="009E5BDA" w:rsidP="009E5B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 что ставит согласующую подпись каждое структурное подразделение:</w:t>
      </w:r>
    </w:p>
    <w:p w:rsidR="009E5BDA" w:rsidRDefault="00637046" w:rsidP="00A77267">
      <w:pPr>
        <w:pStyle w:val="a3"/>
        <w:numPr>
          <w:ilvl w:val="1"/>
          <w:numId w:val="1"/>
        </w:num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FC3328">
        <w:rPr>
          <w:rFonts w:ascii="Times New Roman" w:hAnsi="Times New Roman" w:cs="Times New Roman"/>
          <w:sz w:val="28"/>
          <w:szCs w:val="28"/>
          <w:u w:val="single"/>
        </w:rPr>
        <w:t>Учебно-методическое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77267">
        <w:rPr>
          <w:rFonts w:ascii="Times New Roman" w:hAnsi="Times New Roman" w:cs="Times New Roman"/>
          <w:sz w:val="28"/>
          <w:szCs w:val="28"/>
        </w:rPr>
        <w:t>за планируемые виды и объем учебной нагрузки (учебное поручение).</w:t>
      </w:r>
    </w:p>
    <w:p w:rsidR="00AA3F23" w:rsidRDefault="00AA3F23" w:rsidP="00AD3AD7">
      <w:pPr>
        <w:pStyle w:val="a3"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AD7">
        <w:rPr>
          <w:rFonts w:ascii="Times New Roman" w:hAnsi="Times New Roman" w:cs="Times New Roman"/>
          <w:sz w:val="28"/>
          <w:szCs w:val="28"/>
          <w:u w:val="single"/>
        </w:rPr>
        <w:t>Управление кадрового и документационного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A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AD7">
        <w:rPr>
          <w:rFonts w:ascii="Times New Roman" w:hAnsi="Times New Roman" w:cs="Times New Roman"/>
          <w:sz w:val="28"/>
          <w:szCs w:val="28"/>
        </w:rPr>
        <w:t xml:space="preserve">за принятые копии трудовой книжки, либо справки о стаже с места работы и </w:t>
      </w:r>
      <w:r w:rsidR="00AD3AD7" w:rsidRPr="00AD3AD7">
        <w:rPr>
          <w:rFonts w:ascii="Times New Roman" w:hAnsi="Times New Roman" w:cs="Times New Roman"/>
          <w:sz w:val="28"/>
          <w:szCs w:val="28"/>
        </w:rPr>
        <w:t xml:space="preserve"> </w:t>
      </w:r>
      <w:r w:rsidR="00AD3AD7">
        <w:rPr>
          <w:rFonts w:ascii="Times New Roman" w:hAnsi="Times New Roman" w:cs="Times New Roman"/>
          <w:sz w:val="28"/>
          <w:szCs w:val="28"/>
        </w:rPr>
        <w:t>документы об образовании.</w:t>
      </w:r>
    </w:p>
    <w:p w:rsidR="00637046" w:rsidRDefault="00637046" w:rsidP="00163038">
      <w:pPr>
        <w:pStyle w:val="a3"/>
        <w:numPr>
          <w:ilvl w:val="1"/>
          <w:numId w:val="1"/>
        </w:num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163038">
        <w:rPr>
          <w:rFonts w:ascii="Times New Roman" w:hAnsi="Times New Roman" w:cs="Times New Roman"/>
          <w:sz w:val="28"/>
          <w:szCs w:val="28"/>
          <w:u w:val="single"/>
        </w:rPr>
        <w:t>Отдел налогов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63038">
        <w:rPr>
          <w:rFonts w:ascii="Times New Roman" w:hAnsi="Times New Roman" w:cs="Times New Roman"/>
          <w:sz w:val="28"/>
          <w:szCs w:val="28"/>
        </w:rPr>
        <w:t xml:space="preserve">заводит персональные данные по человеку (ФИО, дата рождения, ИНН, паспорт, СНИЛС, адрес регистрации) и проверяет актуальность ранее представленных данных. </w:t>
      </w:r>
    </w:p>
    <w:p w:rsidR="00637046" w:rsidRDefault="00637046" w:rsidP="00AD3AD7">
      <w:pPr>
        <w:pStyle w:val="a3"/>
        <w:numPr>
          <w:ilvl w:val="1"/>
          <w:numId w:val="1"/>
        </w:num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D3AD7">
        <w:rPr>
          <w:rFonts w:ascii="Times New Roman" w:hAnsi="Times New Roman" w:cs="Times New Roman"/>
          <w:sz w:val="28"/>
          <w:szCs w:val="28"/>
          <w:u w:val="single"/>
        </w:rPr>
        <w:t>Планово-бюджетное 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F24D7">
        <w:rPr>
          <w:rFonts w:ascii="Times New Roman" w:hAnsi="Times New Roman" w:cs="Times New Roman"/>
          <w:sz w:val="28"/>
          <w:szCs w:val="28"/>
        </w:rPr>
        <w:t>определяет и вносит</w:t>
      </w:r>
      <w:proofErr w:type="gramEnd"/>
      <w:r w:rsidR="00AD3AD7">
        <w:rPr>
          <w:rFonts w:ascii="Times New Roman" w:hAnsi="Times New Roman" w:cs="Times New Roman"/>
          <w:sz w:val="28"/>
          <w:szCs w:val="28"/>
        </w:rPr>
        <w:t xml:space="preserve"> стоимость часа, общую сумму по договору, источник финансирования.</w:t>
      </w:r>
    </w:p>
    <w:p w:rsidR="00637046" w:rsidRDefault="00637046" w:rsidP="003F24D7">
      <w:pPr>
        <w:pStyle w:val="a3"/>
        <w:numPr>
          <w:ilvl w:val="1"/>
          <w:numId w:val="1"/>
        </w:num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3F24D7">
        <w:rPr>
          <w:rFonts w:ascii="Times New Roman" w:hAnsi="Times New Roman" w:cs="Times New Roman"/>
          <w:sz w:val="28"/>
          <w:szCs w:val="28"/>
          <w:u w:val="single"/>
        </w:rPr>
        <w:t>Юридический отдел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F24D7">
        <w:rPr>
          <w:rFonts w:ascii="Times New Roman" w:hAnsi="Times New Roman" w:cs="Times New Roman"/>
          <w:sz w:val="28"/>
          <w:szCs w:val="28"/>
        </w:rPr>
        <w:t xml:space="preserve">проводит юридическую экспертизу договоров ГПХ и их регистрацию. </w:t>
      </w:r>
    </w:p>
    <w:p w:rsidR="00637046" w:rsidRDefault="00AA3F23" w:rsidP="00285481">
      <w:pPr>
        <w:pStyle w:val="a3"/>
        <w:numPr>
          <w:ilvl w:val="1"/>
          <w:numId w:val="1"/>
        </w:num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285481">
        <w:rPr>
          <w:rFonts w:ascii="Times New Roman" w:hAnsi="Times New Roman" w:cs="Times New Roman"/>
          <w:sz w:val="28"/>
          <w:szCs w:val="28"/>
          <w:u w:val="single"/>
        </w:rPr>
        <w:t>Отдел аналитики и организации государственных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3F24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F24D7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285481">
        <w:rPr>
          <w:rFonts w:ascii="Times New Roman" w:hAnsi="Times New Roman" w:cs="Times New Roman"/>
          <w:sz w:val="28"/>
          <w:szCs w:val="28"/>
        </w:rPr>
        <w:t>проверк</w:t>
      </w:r>
      <w:r w:rsidR="003F24D7">
        <w:rPr>
          <w:rFonts w:ascii="Times New Roman" w:hAnsi="Times New Roman" w:cs="Times New Roman"/>
          <w:sz w:val="28"/>
          <w:szCs w:val="28"/>
        </w:rPr>
        <w:t>у</w:t>
      </w:r>
      <w:r w:rsidR="00285481" w:rsidRPr="00285481">
        <w:rPr>
          <w:rFonts w:ascii="Times New Roman" w:hAnsi="Times New Roman" w:cs="Times New Roman"/>
          <w:sz w:val="28"/>
          <w:szCs w:val="28"/>
        </w:rPr>
        <w:t xml:space="preserve"> соответствия содержания договора соответствующей позиции плана закупок товаров, работ, услуг на текущий финансовый год</w:t>
      </w:r>
      <w:r w:rsidR="003F24D7">
        <w:rPr>
          <w:rFonts w:ascii="Times New Roman" w:hAnsi="Times New Roman" w:cs="Times New Roman"/>
          <w:sz w:val="28"/>
          <w:szCs w:val="28"/>
        </w:rPr>
        <w:t>, при необходимости вносит изменения</w:t>
      </w:r>
      <w:r w:rsidR="00285481" w:rsidRPr="00285481">
        <w:rPr>
          <w:rFonts w:ascii="Times New Roman" w:hAnsi="Times New Roman" w:cs="Times New Roman"/>
          <w:sz w:val="28"/>
          <w:szCs w:val="28"/>
        </w:rPr>
        <w:t xml:space="preserve"> в План-график, </w:t>
      </w:r>
      <w:r w:rsidR="003F24D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85481" w:rsidRPr="00285481">
        <w:rPr>
          <w:rFonts w:ascii="Times New Roman" w:hAnsi="Times New Roman" w:cs="Times New Roman"/>
          <w:sz w:val="28"/>
          <w:szCs w:val="28"/>
        </w:rPr>
        <w:t>контроль исполнения требований законодательства РФ, Положения о закупке товаров, работ, услуг для нужд УдГУ</w:t>
      </w:r>
      <w:r w:rsidR="003F24D7">
        <w:rPr>
          <w:rFonts w:ascii="Times New Roman" w:hAnsi="Times New Roman" w:cs="Times New Roman"/>
          <w:sz w:val="28"/>
          <w:szCs w:val="28"/>
        </w:rPr>
        <w:t>.</w:t>
      </w:r>
    </w:p>
    <w:p w:rsidR="00AA3F23" w:rsidRDefault="00AD3AD7" w:rsidP="003F24D7">
      <w:pPr>
        <w:pStyle w:val="a3"/>
        <w:numPr>
          <w:ilvl w:val="1"/>
          <w:numId w:val="1"/>
        </w:num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3F24D7">
        <w:rPr>
          <w:rFonts w:ascii="Times New Roman" w:hAnsi="Times New Roman" w:cs="Times New Roman"/>
          <w:sz w:val="28"/>
          <w:szCs w:val="28"/>
          <w:u w:val="single"/>
        </w:rPr>
        <w:t>Отдел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F24D7">
        <w:rPr>
          <w:rFonts w:ascii="Times New Roman" w:hAnsi="Times New Roman" w:cs="Times New Roman"/>
          <w:sz w:val="28"/>
          <w:szCs w:val="28"/>
        </w:rPr>
        <w:t>проводит анализ и оценку договоров ГПХ на предмет экономической безопасности.</w:t>
      </w:r>
    </w:p>
    <w:p w:rsidR="00AD3AD7" w:rsidRPr="009C166F" w:rsidRDefault="00AD3AD7" w:rsidP="009C166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AD7">
        <w:rPr>
          <w:rFonts w:ascii="Times New Roman" w:hAnsi="Times New Roman" w:cs="Times New Roman"/>
          <w:sz w:val="28"/>
          <w:szCs w:val="28"/>
          <w:u w:val="single"/>
        </w:rPr>
        <w:t>Главный бухгалтер</w:t>
      </w:r>
      <w:r w:rsidR="003F24D7">
        <w:rPr>
          <w:rFonts w:ascii="Times New Roman" w:hAnsi="Times New Roman" w:cs="Times New Roman"/>
          <w:sz w:val="28"/>
          <w:szCs w:val="28"/>
        </w:rPr>
        <w:t xml:space="preserve"> – принимает на оплату договор и акт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BDA" w:rsidRPr="009E5BDA" w:rsidRDefault="009E5BDA" w:rsidP="00F67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5FB" w:rsidRPr="00DD2F54" w:rsidRDefault="002915FB" w:rsidP="009E5B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Очередность подписания договора ГПХ</w:t>
      </w:r>
      <w:r w:rsidR="00BF3BBA">
        <w:rPr>
          <w:rFonts w:ascii="Times New Roman" w:hAnsi="Times New Roman" w:cs="Times New Roman"/>
          <w:sz w:val="28"/>
          <w:szCs w:val="28"/>
          <w:u w:val="single"/>
        </w:rPr>
        <w:t xml:space="preserve"> (формы 2, 2-1,3, 4, 4-1, 8,9)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61B8E" w:rsidRDefault="00BF3BBA" w:rsidP="009E5BD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BF3BBA" w:rsidRDefault="00BF3BBA" w:rsidP="009E5BD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BF3BBA" w:rsidRDefault="00BF3BBA" w:rsidP="009E5BD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управление (1 корпус </w:t>
      </w:r>
      <w:r w:rsidR="00DD2F54">
        <w:rPr>
          <w:rFonts w:ascii="Times New Roman" w:hAnsi="Times New Roman" w:cs="Times New Roman"/>
          <w:sz w:val="28"/>
          <w:szCs w:val="28"/>
        </w:rPr>
        <w:t xml:space="preserve"> 219 кабинет)</w:t>
      </w:r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AA3F23" w:rsidRDefault="00AA3F23" w:rsidP="00E80912">
      <w:pPr>
        <w:pStyle w:val="a3"/>
        <w:numPr>
          <w:ilvl w:val="1"/>
          <w:numId w:val="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A3F23">
        <w:rPr>
          <w:rFonts w:ascii="Times New Roman" w:hAnsi="Times New Roman" w:cs="Times New Roman"/>
          <w:sz w:val="28"/>
          <w:szCs w:val="28"/>
        </w:rPr>
        <w:t>Управление кадрового и документационного обеспечения (конкретный специалист по каждому институту)</w:t>
      </w:r>
      <w:r w:rsidR="00BA1CB2">
        <w:rPr>
          <w:rFonts w:ascii="Times New Roman" w:hAnsi="Times New Roman" w:cs="Times New Roman"/>
          <w:sz w:val="28"/>
          <w:szCs w:val="28"/>
        </w:rPr>
        <w:t xml:space="preserve">. В данном структурном подразделении ставят подпись только на договорах, оформленных на лиц, оказывающих образовательные услуги. </w:t>
      </w:r>
    </w:p>
    <w:p w:rsidR="00DD2F54" w:rsidRDefault="00DD2F54" w:rsidP="009E5BD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налогов и отчетности (1 корпус 241 кабинет)</w:t>
      </w:r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DD2F54" w:rsidRDefault="00DD2F54" w:rsidP="009E5BD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ПБФУ (1 корпус 234 кабинет)</w:t>
      </w:r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DD2F54" w:rsidRDefault="00DD2F54" w:rsidP="009E5BD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отдел  (1 корпус 244 кабинет)</w:t>
      </w:r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2915FB" w:rsidRDefault="00BE3564" w:rsidP="009E5BD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564">
        <w:rPr>
          <w:rFonts w:ascii="Times New Roman" w:hAnsi="Times New Roman" w:cs="Times New Roman"/>
          <w:sz w:val="28"/>
          <w:szCs w:val="28"/>
        </w:rPr>
        <w:t>ОАиОГЗ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корпус 127 кабинет)</w:t>
      </w:r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BE3564" w:rsidRDefault="00BE3564" w:rsidP="009E5BD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безопасности (1 корпус 209 кабинет)</w:t>
      </w:r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BE3564" w:rsidRDefault="00BE3564" w:rsidP="009E5BD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(1 корпус кабинет 231а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BE3564" w:rsidRDefault="00BE3564" w:rsidP="009E5BDA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47C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B70F0D">
        <w:rPr>
          <w:rFonts w:ascii="Times New Roman" w:hAnsi="Times New Roman" w:cs="Times New Roman"/>
          <w:sz w:val="28"/>
          <w:szCs w:val="28"/>
        </w:rPr>
        <w:t xml:space="preserve"> - </w:t>
      </w:r>
      <w:r w:rsidR="005270DF" w:rsidRPr="0076547C">
        <w:rPr>
          <w:rFonts w:ascii="Times New Roman" w:hAnsi="Times New Roman" w:cs="Times New Roman"/>
          <w:sz w:val="28"/>
          <w:szCs w:val="28"/>
        </w:rPr>
        <w:t>рект</w:t>
      </w:r>
      <w:r w:rsidR="0076547C" w:rsidRPr="0076547C">
        <w:rPr>
          <w:rFonts w:ascii="Times New Roman" w:hAnsi="Times New Roman" w:cs="Times New Roman"/>
          <w:sz w:val="28"/>
          <w:szCs w:val="28"/>
        </w:rPr>
        <w:t>ор, либо уполномоченное им лицо</w:t>
      </w:r>
      <w:r w:rsidR="00E80912">
        <w:rPr>
          <w:rFonts w:ascii="Times New Roman" w:hAnsi="Times New Roman" w:cs="Times New Roman"/>
          <w:sz w:val="28"/>
          <w:szCs w:val="28"/>
        </w:rPr>
        <w:t>.</w:t>
      </w:r>
    </w:p>
    <w:p w:rsidR="00E80912" w:rsidRDefault="00E80912" w:rsidP="00E80912">
      <w:pPr>
        <w:pStyle w:val="a3"/>
        <w:numPr>
          <w:ilvl w:val="1"/>
          <w:numId w:val="1"/>
        </w:num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делопроизводства (1 корпус  </w:t>
      </w:r>
      <w:r w:rsidR="00BA1CB2">
        <w:rPr>
          <w:rFonts w:ascii="Times New Roman" w:hAnsi="Times New Roman" w:cs="Times New Roman"/>
          <w:sz w:val="28"/>
          <w:szCs w:val="28"/>
        </w:rPr>
        <w:t xml:space="preserve">232 кабинет)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A1CB2">
        <w:rPr>
          <w:rFonts w:ascii="Times New Roman" w:hAnsi="Times New Roman" w:cs="Times New Roman"/>
          <w:sz w:val="28"/>
          <w:szCs w:val="28"/>
        </w:rPr>
        <w:t xml:space="preserve"> ставя</w:t>
      </w:r>
      <w:r>
        <w:rPr>
          <w:rFonts w:ascii="Times New Roman" w:hAnsi="Times New Roman" w:cs="Times New Roman"/>
          <w:sz w:val="28"/>
          <w:szCs w:val="28"/>
        </w:rPr>
        <w:t xml:space="preserve">т печать на полностью заполненный и подписанный договор. </w:t>
      </w:r>
    </w:p>
    <w:p w:rsidR="00AD3AD7" w:rsidRDefault="00AD3AD7" w:rsidP="00AD3AD7">
      <w:pPr>
        <w:pStyle w:val="a3"/>
        <w:numPr>
          <w:ilvl w:val="1"/>
          <w:numId w:val="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ПБФУ (Бунтовой Татьяне Сергеевне 1 корпус 234 кабинет).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Данный специалист вводит в систему ИИАС данные по договору ГПХ и передает его в бухгалтерию для оплаты).</w:t>
      </w:r>
      <w:proofErr w:type="gramEnd"/>
    </w:p>
    <w:p w:rsidR="00AD3AD7" w:rsidRDefault="00AD3AD7" w:rsidP="00AD3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40" w:rsidRPr="00F13640" w:rsidRDefault="00F13640" w:rsidP="00F13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640" w:rsidRPr="00DD2F54" w:rsidRDefault="00F13640" w:rsidP="009E5BDA">
      <w:pPr>
        <w:pStyle w:val="a3"/>
        <w:numPr>
          <w:ilvl w:val="0"/>
          <w:numId w:val="1"/>
        </w:numPr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Очередность подписания договора ГПХ (форма 3):</w:t>
      </w:r>
    </w:p>
    <w:p w:rsidR="00F13640" w:rsidRDefault="00F13640" w:rsidP="009E5BD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C67FE4" w:rsidRDefault="00C67FE4" w:rsidP="009E5BD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F13640" w:rsidRDefault="00F13640" w:rsidP="009E5BD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F13640" w:rsidRDefault="00F13640" w:rsidP="009E5BD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управление (1 корпус  219 кабинет)</w:t>
      </w:r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F13640" w:rsidRDefault="00F13640" w:rsidP="009E5BD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налогов и отчетности (1 корпус 241 кабинет)</w:t>
      </w:r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F13640" w:rsidRDefault="00F13640" w:rsidP="009E5BD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ПБФУ (1 корпус 234 кабинет)</w:t>
      </w:r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F13640" w:rsidRDefault="00F13640" w:rsidP="009E5BD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отдел  (1 корпус 244 кабинет)</w:t>
      </w:r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F13640" w:rsidRDefault="00F13640" w:rsidP="009E5BD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564">
        <w:rPr>
          <w:rFonts w:ascii="Times New Roman" w:hAnsi="Times New Roman" w:cs="Times New Roman"/>
          <w:sz w:val="28"/>
          <w:szCs w:val="28"/>
        </w:rPr>
        <w:t>ОАиОГЗ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корпус 127 кабинет)</w:t>
      </w:r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F13640" w:rsidRDefault="00F13640" w:rsidP="009E5BD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безопасности (1 корпус 209 кабинет)</w:t>
      </w:r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F13640" w:rsidRDefault="00F13640" w:rsidP="009E5BD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(1 корпус кабинет 231а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D3CEF">
        <w:rPr>
          <w:rFonts w:ascii="Times New Roman" w:hAnsi="Times New Roman" w:cs="Times New Roman"/>
          <w:sz w:val="28"/>
          <w:szCs w:val="28"/>
        </w:rPr>
        <w:t>.</w:t>
      </w:r>
    </w:p>
    <w:p w:rsidR="00B70F0D" w:rsidRDefault="00B70F0D" w:rsidP="009E5BDA">
      <w:pPr>
        <w:pStyle w:val="a3"/>
        <w:numPr>
          <w:ilvl w:val="1"/>
          <w:numId w:val="1"/>
        </w:numPr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76547C">
        <w:rPr>
          <w:rFonts w:ascii="Times New Roman" w:hAnsi="Times New Roman" w:cs="Times New Roman"/>
          <w:sz w:val="28"/>
          <w:szCs w:val="28"/>
        </w:rPr>
        <w:t xml:space="preserve">Заказчик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6547C">
        <w:rPr>
          <w:rFonts w:ascii="Times New Roman" w:hAnsi="Times New Roman" w:cs="Times New Roman"/>
          <w:sz w:val="28"/>
          <w:szCs w:val="28"/>
        </w:rPr>
        <w:t>ректор, либо уполномоченное им лицо</w:t>
      </w:r>
      <w:r w:rsidR="00805688">
        <w:rPr>
          <w:rFonts w:ascii="Times New Roman" w:hAnsi="Times New Roman" w:cs="Times New Roman"/>
          <w:sz w:val="28"/>
          <w:szCs w:val="28"/>
        </w:rPr>
        <w:t>.</w:t>
      </w:r>
    </w:p>
    <w:p w:rsidR="00805688" w:rsidRDefault="00805688" w:rsidP="00805688">
      <w:pPr>
        <w:pStyle w:val="a3"/>
        <w:numPr>
          <w:ilvl w:val="1"/>
          <w:numId w:val="1"/>
        </w:num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делопроизводства (1 корпус  232 кабинет) – ставят печать на полностью заполненный и подписанный договор. </w:t>
      </w:r>
    </w:p>
    <w:p w:rsidR="00805688" w:rsidRDefault="00805688" w:rsidP="00805688">
      <w:pPr>
        <w:pStyle w:val="a3"/>
        <w:numPr>
          <w:ilvl w:val="1"/>
          <w:numId w:val="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ПБФУ (Бунтовой Татьяне Сергеевне 1 корпус 234 кабинет).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Данный специалист вводит в систему ИИАС данные по договору ГПХ и передает его в бухгалтерию для оплаты).</w:t>
      </w:r>
      <w:proofErr w:type="gramEnd"/>
    </w:p>
    <w:p w:rsidR="00805688" w:rsidRDefault="00805688" w:rsidP="008056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640" w:rsidRDefault="00F13640" w:rsidP="00F13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6F7" w:rsidRDefault="005326F7" w:rsidP="00F13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9E5" w:rsidRDefault="00C649E5" w:rsidP="00F13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9E5" w:rsidRDefault="00C649E5" w:rsidP="00F13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9E5" w:rsidRDefault="00C649E5" w:rsidP="00F13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9E5" w:rsidRDefault="00C649E5" w:rsidP="00F13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9E5" w:rsidRDefault="00C649E5" w:rsidP="00F13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9E5" w:rsidRDefault="00C649E5" w:rsidP="00F13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9E5" w:rsidRDefault="00C649E5" w:rsidP="00F13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9E5" w:rsidRDefault="00C649E5" w:rsidP="00F13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9E5" w:rsidRDefault="00C649E5" w:rsidP="00F13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9E5" w:rsidRDefault="00C649E5" w:rsidP="00F13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9E5" w:rsidRPr="00C649E5" w:rsidRDefault="00C649E5" w:rsidP="00C649E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49E5" w:rsidRPr="00C649E5" w:rsidSect="00C649E5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73E"/>
    <w:multiLevelType w:val="multilevel"/>
    <w:tmpl w:val="301E4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648356D"/>
    <w:multiLevelType w:val="hybridMultilevel"/>
    <w:tmpl w:val="842E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B22C6"/>
    <w:multiLevelType w:val="hybridMultilevel"/>
    <w:tmpl w:val="5BEC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9140A"/>
    <w:multiLevelType w:val="hybridMultilevel"/>
    <w:tmpl w:val="C2523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C3279"/>
    <w:multiLevelType w:val="multilevel"/>
    <w:tmpl w:val="301E4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5061D79"/>
    <w:multiLevelType w:val="hybridMultilevel"/>
    <w:tmpl w:val="3C02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11B16"/>
    <w:multiLevelType w:val="multilevel"/>
    <w:tmpl w:val="301E4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10D7E4A"/>
    <w:multiLevelType w:val="hybridMultilevel"/>
    <w:tmpl w:val="6EFEA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C7237"/>
    <w:multiLevelType w:val="hybridMultilevel"/>
    <w:tmpl w:val="15DE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F7"/>
    <w:rsid w:val="00004D20"/>
    <w:rsid w:val="00017386"/>
    <w:rsid w:val="00055ADE"/>
    <w:rsid w:val="00085251"/>
    <w:rsid w:val="00086D39"/>
    <w:rsid w:val="000906C6"/>
    <w:rsid w:val="000946A2"/>
    <w:rsid w:val="000A1340"/>
    <w:rsid w:val="000A36C7"/>
    <w:rsid w:val="000C25B2"/>
    <w:rsid w:val="000C5BF9"/>
    <w:rsid w:val="000D7189"/>
    <w:rsid w:val="000E62D7"/>
    <w:rsid w:val="00114DCA"/>
    <w:rsid w:val="001270C9"/>
    <w:rsid w:val="001368D5"/>
    <w:rsid w:val="00156CD3"/>
    <w:rsid w:val="00163038"/>
    <w:rsid w:val="001745C2"/>
    <w:rsid w:val="00177F6A"/>
    <w:rsid w:val="001827E0"/>
    <w:rsid w:val="00187478"/>
    <w:rsid w:val="00190422"/>
    <w:rsid w:val="001939C8"/>
    <w:rsid w:val="00193F2E"/>
    <w:rsid w:val="001976A0"/>
    <w:rsid w:val="001A3E3F"/>
    <w:rsid w:val="001D7E76"/>
    <w:rsid w:val="002070A9"/>
    <w:rsid w:val="00212108"/>
    <w:rsid w:val="00212896"/>
    <w:rsid w:val="0022302B"/>
    <w:rsid w:val="0022421F"/>
    <w:rsid w:val="00226608"/>
    <w:rsid w:val="00227FE0"/>
    <w:rsid w:val="00285481"/>
    <w:rsid w:val="002915FB"/>
    <w:rsid w:val="002A5590"/>
    <w:rsid w:val="002C7411"/>
    <w:rsid w:val="0032148C"/>
    <w:rsid w:val="00323A03"/>
    <w:rsid w:val="00324AAC"/>
    <w:rsid w:val="00330B24"/>
    <w:rsid w:val="00340E20"/>
    <w:rsid w:val="00344A18"/>
    <w:rsid w:val="00374B19"/>
    <w:rsid w:val="00390AC4"/>
    <w:rsid w:val="00396A90"/>
    <w:rsid w:val="003A6922"/>
    <w:rsid w:val="003D1979"/>
    <w:rsid w:val="003E320C"/>
    <w:rsid w:val="003F1A13"/>
    <w:rsid w:val="003F24D7"/>
    <w:rsid w:val="00402C10"/>
    <w:rsid w:val="004310DC"/>
    <w:rsid w:val="0043175A"/>
    <w:rsid w:val="0045293A"/>
    <w:rsid w:val="0049265D"/>
    <w:rsid w:val="004A49AE"/>
    <w:rsid w:val="004B302F"/>
    <w:rsid w:val="004C076B"/>
    <w:rsid w:val="004C38A7"/>
    <w:rsid w:val="004D0BDD"/>
    <w:rsid w:val="0050777D"/>
    <w:rsid w:val="00520DCF"/>
    <w:rsid w:val="005270DF"/>
    <w:rsid w:val="005326F7"/>
    <w:rsid w:val="00551BA7"/>
    <w:rsid w:val="00553E41"/>
    <w:rsid w:val="00566BC4"/>
    <w:rsid w:val="00581DF0"/>
    <w:rsid w:val="005862BD"/>
    <w:rsid w:val="005A025A"/>
    <w:rsid w:val="005F4D7A"/>
    <w:rsid w:val="006034FD"/>
    <w:rsid w:val="00623B3F"/>
    <w:rsid w:val="00630966"/>
    <w:rsid w:val="00636C2A"/>
    <w:rsid w:val="00637046"/>
    <w:rsid w:val="00640992"/>
    <w:rsid w:val="00657DE9"/>
    <w:rsid w:val="00661709"/>
    <w:rsid w:val="00663C25"/>
    <w:rsid w:val="006657E7"/>
    <w:rsid w:val="006721B6"/>
    <w:rsid w:val="006B3966"/>
    <w:rsid w:val="006D581B"/>
    <w:rsid w:val="006E2F51"/>
    <w:rsid w:val="006E4154"/>
    <w:rsid w:val="006E5982"/>
    <w:rsid w:val="006F1B5F"/>
    <w:rsid w:val="007419EF"/>
    <w:rsid w:val="00745AB0"/>
    <w:rsid w:val="007604A5"/>
    <w:rsid w:val="0076547C"/>
    <w:rsid w:val="00775687"/>
    <w:rsid w:val="00776C69"/>
    <w:rsid w:val="0079207D"/>
    <w:rsid w:val="007A3F24"/>
    <w:rsid w:val="007C01AC"/>
    <w:rsid w:val="007D2D88"/>
    <w:rsid w:val="007D682C"/>
    <w:rsid w:val="007E3BF5"/>
    <w:rsid w:val="007E7F1C"/>
    <w:rsid w:val="007F454A"/>
    <w:rsid w:val="00805688"/>
    <w:rsid w:val="00827F82"/>
    <w:rsid w:val="008345F7"/>
    <w:rsid w:val="008429DC"/>
    <w:rsid w:val="00855262"/>
    <w:rsid w:val="00856823"/>
    <w:rsid w:val="00861B8E"/>
    <w:rsid w:val="008B0019"/>
    <w:rsid w:val="008E59F2"/>
    <w:rsid w:val="00910821"/>
    <w:rsid w:val="00953C17"/>
    <w:rsid w:val="00962E8C"/>
    <w:rsid w:val="009750CF"/>
    <w:rsid w:val="00986CDD"/>
    <w:rsid w:val="00990148"/>
    <w:rsid w:val="009A614D"/>
    <w:rsid w:val="009B702D"/>
    <w:rsid w:val="009C166F"/>
    <w:rsid w:val="009C23BF"/>
    <w:rsid w:val="009D7785"/>
    <w:rsid w:val="009E51CC"/>
    <w:rsid w:val="009E5BDA"/>
    <w:rsid w:val="009F63A0"/>
    <w:rsid w:val="00A067C3"/>
    <w:rsid w:val="00A15A12"/>
    <w:rsid w:val="00A30459"/>
    <w:rsid w:val="00A56156"/>
    <w:rsid w:val="00A64FE9"/>
    <w:rsid w:val="00A77267"/>
    <w:rsid w:val="00A80204"/>
    <w:rsid w:val="00A81D06"/>
    <w:rsid w:val="00A904F8"/>
    <w:rsid w:val="00AA3F23"/>
    <w:rsid w:val="00AA426D"/>
    <w:rsid w:val="00AD3AD7"/>
    <w:rsid w:val="00AE2677"/>
    <w:rsid w:val="00B24EE1"/>
    <w:rsid w:val="00B3057B"/>
    <w:rsid w:val="00B36F5D"/>
    <w:rsid w:val="00B40DB1"/>
    <w:rsid w:val="00B447D1"/>
    <w:rsid w:val="00B527B5"/>
    <w:rsid w:val="00B55110"/>
    <w:rsid w:val="00B6263E"/>
    <w:rsid w:val="00B64289"/>
    <w:rsid w:val="00B6643E"/>
    <w:rsid w:val="00B70F0D"/>
    <w:rsid w:val="00B74CCF"/>
    <w:rsid w:val="00B91F31"/>
    <w:rsid w:val="00BA1CB2"/>
    <w:rsid w:val="00BA30DD"/>
    <w:rsid w:val="00BA628F"/>
    <w:rsid w:val="00BA69F7"/>
    <w:rsid w:val="00BD3CEF"/>
    <w:rsid w:val="00BE3564"/>
    <w:rsid w:val="00BF0099"/>
    <w:rsid w:val="00BF3BBA"/>
    <w:rsid w:val="00C212C4"/>
    <w:rsid w:val="00C42AEB"/>
    <w:rsid w:val="00C57702"/>
    <w:rsid w:val="00C649E5"/>
    <w:rsid w:val="00C66A70"/>
    <w:rsid w:val="00C67FE4"/>
    <w:rsid w:val="00C775CB"/>
    <w:rsid w:val="00C845FC"/>
    <w:rsid w:val="00CC0BA0"/>
    <w:rsid w:val="00CC35B7"/>
    <w:rsid w:val="00CC483F"/>
    <w:rsid w:val="00D06072"/>
    <w:rsid w:val="00D07D2E"/>
    <w:rsid w:val="00D42336"/>
    <w:rsid w:val="00D43A88"/>
    <w:rsid w:val="00D52E71"/>
    <w:rsid w:val="00D6157C"/>
    <w:rsid w:val="00D75B47"/>
    <w:rsid w:val="00D8544E"/>
    <w:rsid w:val="00D86E46"/>
    <w:rsid w:val="00D909E0"/>
    <w:rsid w:val="00D939C3"/>
    <w:rsid w:val="00DC7C8B"/>
    <w:rsid w:val="00DD2F54"/>
    <w:rsid w:val="00E12CD8"/>
    <w:rsid w:val="00E20165"/>
    <w:rsid w:val="00E23616"/>
    <w:rsid w:val="00E41D53"/>
    <w:rsid w:val="00E42D60"/>
    <w:rsid w:val="00E45A43"/>
    <w:rsid w:val="00E80912"/>
    <w:rsid w:val="00E8629D"/>
    <w:rsid w:val="00E97330"/>
    <w:rsid w:val="00EA3798"/>
    <w:rsid w:val="00EB563A"/>
    <w:rsid w:val="00F13640"/>
    <w:rsid w:val="00F24F53"/>
    <w:rsid w:val="00F67697"/>
    <w:rsid w:val="00F67A4E"/>
    <w:rsid w:val="00F7737F"/>
    <w:rsid w:val="00F867F8"/>
    <w:rsid w:val="00FA3A0C"/>
    <w:rsid w:val="00FB2263"/>
    <w:rsid w:val="00FB4A7D"/>
    <w:rsid w:val="00FC3328"/>
    <w:rsid w:val="00FC4D98"/>
    <w:rsid w:val="00FE0581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C25"/>
    <w:pPr>
      <w:ind w:left="720"/>
      <w:contextualSpacing/>
    </w:pPr>
  </w:style>
  <w:style w:type="table" w:styleId="a4">
    <w:name w:val="Table Grid"/>
    <w:basedOn w:val="a1"/>
    <w:uiPriority w:val="59"/>
    <w:rsid w:val="00BA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4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04D2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77F6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7F6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7F6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7F6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7F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C25"/>
    <w:pPr>
      <w:ind w:left="720"/>
      <w:contextualSpacing/>
    </w:pPr>
  </w:style>
  <w:style w:type="table" w:styleId="a4">
    <w:name w:val="Table Grid"/>
    <w:basedOn w:val="a1"/>
    <w:uiPriority w:val="59"/>
    <w:rsid w:val="00BA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4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04D2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77F6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7F6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7F6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7F6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7F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o.udsu.ru/st/uio.main?p_np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-pbf.udsu.ru/documents-pbf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UdSU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Евгеньевна Осколкова</dc:creator>
  <cp:lastModifiedBy>Анастасия Евгеньевна Осколкова</cp:lastModifiedBy>
  <cp:revision>33</cp:revision>
  <cp:lastPrinted>2018-10-04T05:07:00Z</cp:lastPrinted>
  <dcterms:created xsi:type="dcterms:W3CDTF">2018-09-26T05:56:00Z</dcterms:created>
  <dcterms:modified xsi:type="dcterms:W3CDTF">2018-10-08T05:29:00Z</dcterms:modified>
</cp:coreProperties>
</file>